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D00D" w14:textId="304CA98D" w:rsidR="009F4A06" w:rsidRDefault="009F4A06" w:rsidP="00D7446F">
      <w:pPr>
        <w:pStyle w:val="NormalWeb"/>
        <w:spacing w:before="0" w:beforeAutospacing="0" w:after="0" w:afterAutospacing="0"/>
        <w:rPr>
          <w:rFonts w:asciiTheme="minorHAnsi" w:eastAsiaTheme="minorEastAsia" w:hAnsi="Calibri" w:cstheme="minorBidi"/>
          <w:b/>
          <w:bCs/>
          <w:color w:val="FFFFFF" w:themeColor="light1"/>
          <w:kern w:val="24"/>
          <w:sz w:val="36"/>
          <w:szCs w:val="36"/>
        </w:rPr>
      </w:pPr>
    </w:p>
    <w:p w14:paraId="081152F4" w14:textId="1BA80E1E" w:rsidR="00D7446F" w:rsidRDefault="00D7446F" w:rsidP="00D7446F">
      <w:pPr>
        <w:pStyle w:val="NormalWeb"/>
        <w:spacing w:before="0" w:beforeAutospacing="0" w:after="0" w:afterAutospacing="0"/>
        <w:rPr>
          <w:rFonts w:asciiTheme="minorHAnsi" w:eastAsiaTheme="minorEastAsia" w:hAnsi="Calibri" w:cstheme="minorBidi"/>
          <w:b/>
          <w:bCs/>
          <w:color w:val="FFFFFF" w:themeColor="light1"/>
          <w:kern w:val="24"/>
          <w:sz w:val="36"/>
          <w:szCs w:val="36"/>
        </w:rPr>
      </w:pPr>
    </w:p>
    <w:tbl>
      <w:tblPr>
        <w:tblStyle w:val="TableGrid"/>
        <w:tblW w:w="14644" w:type="dxa"/>
        <w:tblLook w:val="0400" w:firstRow="0" w:lastRow="0" w:firstColumn="0" w:lastColumn="0" w:noHBand="0" w:noVBand="1"/>
      </w:tblPr>
      <w:tblGrid>
        <w:gridCol w:w="1656"/>
        <w:gridCol w:w="1137"/>
        <w:gridCol w:w="2177"/>
        <w:gridCol w:w="4557"/>
        <w:gridCol w:w="1443"/>
        <w:gridCol w:w="3674"/>
      </w:tblGrid>
      <w:tr w:rsidR="006F1992" w:rsidRPr="00D7446F" w14:paraId="279FF349" w14:textId="77777777" w:rsidTr="006F1992">
        <w:trPr>
          <w:trHeight w:val="1301"/>
        </w:trPr>
        <w:tc>
          <w:tcPr>
            <w:tcW w:w="1656" w:type="dxa"/>
            <w:shd w:val="clear" w:color="auto" w:fill="5B9BD5" w:themeFill="accent5"/>
            <w:hideMark/>
          </w:tcPr>
          <w:p w14:paraId="3C05477B" w14:textId="77777777" w:rsidR="00D7446F" w:rsidRPr="00D7446F" w:rsidRDefault="00D7446F" w:rsidP="00D7446F">
            <w:pPr>
              <w:pStyle w:val="NormalWeb"/>
            </w:pPr>
            <w:r w:rsidRPr="00D7446F">
              <w:rPr>
                <w:b/>
                <w:bCs/>
              </w:rPr>
              <w:t>Act 183 Initiative</w:t>
            </w:r>
          </w:p>
        </w:tc>
        <w:tc>
          <w:tcPr>
            <w:tcW w:w="1137" w:type="dxa"/>
            <w:shd w:val="clear" w:color="auto" w:fill="5B9BD5" w:themeFill="accent5"/>
            <w:hideMark/>
          </w:tcPr>
          <w:p w14:paraId="31941E7B" w14:textId="77777777" w:rsidR="00D7446F" w:rsidRPr="00D7446F" w:rsidRDefault="00D7446F" w:rsidP="00D7446F">
            <w:pPr>
              <w:pStyle w:val="NormalWeb"/>
            </w:pPr>
            <w:r w:rsidRPr="00D7446F">
              <w:rPr>
                <w:b/>
                <w:bCs/>
              </w:rPr>
              <w:t>Section</w:t>
            </w:r>
          </w:p>
        </w:tc>
        <w:tc>
          <w:tcPr>
            <w:tcW w:w="2177" w:type="dxa"/>
            <w:shd w:val="clear" w:color="auto" w:fill="5B9BD5" w:themeFill="accent5"/>
            <w:hideMark/>
          </w:tcPr>
          <w:p w14:paraId="1A62326C" w14:textId="77777777" w:rsidR="00D7446F" w:rsidRPr="00D7446F" w:rsidRDefault="00D7446F" w:rsidP="00D7446F">
            <w:pPr>
              <w:pStyle w:val="NormalWeb"/>
            </w:pPr>
            <w:r w:rsidRPr="00D7446F">
              <w:rPr>
                <w:b/>
                <w:bCs/>
              </w:rPr>
              <w:t>Investment</w:t>
            </w:r>
          </w:p>
        </w:tc>
        <w:tc>
          <w:tcPr>
            <w:tcW w:w="4557" w:type="dxa"/>
            <w:shd w:val="clear" w:color="auto" w:fill="5B9BD5" w:themeFill="accent5"/>
            <w:hideMark/>
          </w:tcPr>
          <w:p w14:paraId="443515A0" w14:textId="77777777" w:rsidR="00D7446F" w:rsidRPr="00D7446F" w:rsidRDefault="00D7446F" w:rsidP="00D7446F">
            <w:pPr>
              <w:pStyle w:val="NormalWeb"/>
            </w:pPr>
            <w:r w:rsidRPr="00D7446F">
              <w:rPr>
                <w:b/>
                <w:bCs/>
              </w:rPr>
              <w:t>Deliverable</w:t>
            </w:r>
          </w:p>
        </w:tc>
        <w:tc>
          <w:tcPr>
            <w:tcW w:w="1443" w:type="dxa"/>
            <w:shd w:val="clear" w:color="auto" w:fill="5B9BD5" w:themeFill="accent5"/>
            <w:hideMark/>
          </w:tcPr>
          <w:p w14:paraId="438B8466" w14:textId="77777777" w:rsidR="00D7446F" w:rsidRPr="00D7446F" w:rsidRDefault="00D7446F" w:rsidP="00D7446F">
            <w:pPr>
              <w:pStyle w:val="NormalWeb"/>
            </w:pPr>
            <w:r w:rsidRPr="00D7446F">
              <w:rPr>
                <w:b/>
                <w:bCs/>
              </w:rPr>
              <w:t>Responsible</w:t>
            </w:r>
          </w:p>
        </w:tc>
        <w:tc>
          <w:tcPr>
            <w:tcW w:w="3674" w:type="dxa"/>
            <w:shd w:val="clear" w:color="auto" w:fill="5B9BD5" w:themeFill="accent5"/>
            <w:hideMark/>
          </w:tcPr>
          <w:p w14:paraId="5A631EC3" w14:textId="77777777" w:rsidR="00D7446F" w:rsidRPr="00D7446F" w:rsidRDefault="00D7446F" w:rsidP="00D7446F">
            <w:pPr>
              <w:pStyle w:val="NormalWeb"/>
            </w:pPr>
            <w:r w:rsidRPr="00D7446F">
              <w:rPr>
                <w:b/>
                <w:bCs/>
              </w:rPr>
              <w:t>Health Care Workforce Development Strategic Plan “plan”</w:t>
            </w:r>
          </w:p>
        </w:tc>
      </w:tr>
      <w:tr w:rsidR="00D7446F" w:rsidRPr="00D7446F" w14:paraId="1064A338" w14:textId="77777777" w:rsidTr="00722AC2">
        <w:trPr>
          <w:trHeight w:val="2733"/>
        </w:trPr>
        <w:tc>
          <w:tcPr>
            <w:tcW w:w="1656" w:type="dxa"/>
            <w:hideMark/>
          </w:tcPr>
          <w:p w14:paraId="3E450632" w14:textId="0B50E561" w:rsidR="00D7446F" w:rsidRPr="00D7446F" w:rsidRDefault="00D7446F" w:rsidP="00D7446F">
            <w:pPr>
              <w:pStyle w:val="NormalWeb"/>
            </w:pPr>
            <w:r w:rsidRPr="00D7446F">
              <w:t xml:space="preserve">Emergency Grants to Support Nurse Faculty </w:t>
            </w:r>
            <w:r w:rsidR="00722AC2" w:rsidRPr="00D7446F">
              <w:t>and</w:t>
            </w:r>
            <w:r w:rsidRPr="00D7446F">
              <w:t xml:space="preserve"> Staff</w:t>
            </w:r>
          </w:p>
        </w:tc>
        <w:tc>
          <w:tcPr>
            <w:tcW w:w="1137" w:type="dxa"/>
            <w:hideMark/>
          </w:tcPr>
          <w:p w14:paraId="790B7B5C" w14:textId="77777777" w:rsidR="00D7446F" w:rsidRPr="00D7446F" w:rsidRDefault="00D7446F" w:rsidP="00D7446F">
            <w:pPr>
              <w:pStyle w:val="NormalWeb"/>
            </w:pPr>
            <w:r w:rsidRPr="00D7446F">
              <w:t>20</w:t>
            </w:r>
          </w:p>
        </w:tc>
        <w:tc>
          <w:tcPr>
            <w:tcW w:w="2177" w:type="dxa"/>
            <w:hideMark/>
          </w:tcPr>
          <w:p w14:paraId="48887866" w14:textId="77777777" w:rsidR="00D7446F" w:rsidRPr="00D7446F" w:rsidRDefault="00D7446F" w:rsidP="00D7446F">
            <w:pPr>
              <w:pStyle w:val="NormalWeb"/>
            </w:pPr>
            <w:r w:rsidRPr="00D7446F">
              <w:t xml:space="preserve"> $2,000,000.00</w:t>
            </w:r>
          </w:p>
        </w:tc>
        <w:tc>
          <w:tcPr>
            <w:tcW w:w="4557" w:type="dxa"/>
            <w:hideMark/>
          </w:tcPr>
          <w:p w14:paraId="367FC430" w14:textId="77777777" w:rsidR="00D7446F" w:rsidRPr="00D7446F" w:rsidRDefault="00D7446F" w:rsidP="00D7446F">
            <w:pPr>
              <w:pStyle w:val="NormalWeb"/>
            </w:pPr>
            <w:r w:rsidRPr="00D7446F">
              <w:t>Emergency interim grants to Vermont’s nursing schools over three years to increase compensation for faculty/staff.</w:t>
            </w:r>
          </w:p>
        </w:tc>
        <w:tc>
          <w:tcPr>
            <w:tcW w:w="1443" w:type="dxa"/>
            <w:hideMark/>
          </w:tcPr>
          <w:p w14:paraId="5E9624D3" w14:textId="77777777" w:rsidR="00D7446F" w:rsidRPr="00D7446F" w:rsidRDefault="00D7446F" w:rsidP="00D7446F">
            <w:pPr>
              <w:pStyle w:val="NormalWeb"/>
            </w:pPr>
            <w:r w:rsidRPr="00D7446F">
              <w:t>VDH</w:t>
            </w:r>
          </w:p>
        </w:tc>
        <w:tc>
          <w:tcPr>
            <w:tcW w:w="3674" w:type="dxa"/>
            <w:hideMark/>
          </w:tcPr>
          <w:p w14:paraId="410FA61E" w14:textId="0FE7073A" w:rsidR="00D7446F" w:rsidRPr="00D7446F" w:rsidRDefault="00D7446F" w:rsidP="00D7446F">
            <w:pPr>
              <w:pStyle w:val="NormalWeb"/>
            </w:pPr>
            <w:r w:rsidRPr="00D7446F">
              <w:t xml:space="preserve">The plan recognized that faculty compensation may be a barrier to increasing faculty staff for nursing education programs. </w:t>
            </w:r>
            <w:proofErr w:type="spellStart"/>
            <w:proofErr w:type="gramStart"/>
            <w:r w:rsidRPr="00D7446F">
              <w:t>The“</w:t>
            </w:r>
            <w:proofErr w:type="gramEnd"/>
            <w:r w:rsidRPr="00D7446F">
              <w:t>plan</w:t>
            </w:r>
            <w:proofErr w:type="spellEnd"/>
            <w:r w:rsidRPr="00D7446F">
              <w:t xml:space="preserve">” assigned a workgroup to evaluate any gaps in compensation between academic faculty and practitioners, identify possible solutions and make any further recommendations necessary including funding. </w:t>
            </w:r>
          </w:p>
        </w:tc>
      </w:tr>
      <w:tr w:rsidR="00944466" w:rsidRPr="00D7446F" w14:paraId="0713F10C" w14:textId="77777777" w:rsidTr="00944466">
        <w:trPr>
          <w:trHeight w:val="519"/>
        </w:trPr>
        <w:tc>
          <w:tcPr>
            <w:tcW w:w="1656" w:type="dxa"/>
            <w:shd w:val="clear" w:color="auto" w:fill="FFFF00"/>
            <w:hideMark/>
          </w:tcPr>
          <w:p w14:paraId="7FD65868" w14:textId="0DCD4F97" w:rsidR="00D7446F" w:rsidRPr="00D7446F" w:rsidRDefault="00D7446F" w:rsidP="00D7446F">
            <w:pPr>
              <w:pStyle w:val="NormalWeb"/>
            </w:pPr>
            <w:r w:rsidRPr="00D7446F">
              <w:t>Nurse Preceptor Incentive Grants</w:t>
            </w:r>
          </w:p>
        </w:tc>
        <w:tc>
          <w:tcPr>
            <w:tcW w:w="1137" w:type="dxa"/>
            <w:shd w:val="clear" w:color="auto" w:fill="FFFF00"/>
            <w:hideMark/>
          </w:tcPr>
          <w:p w14:paraId="5D0A8F68" w14:textId="77777777" w:rsidR="00D7446F" w:rsidRPr="00D7446F" w:rsidRDefault="00D7446F" w:rsidP="00D7446F">
            <w:pPr>
              <w:pStyle w:val="NormalWeb"/>
            </w:pPr>
            <w:r w:rsidRPr="00D7446F">
              <w:t>21</w:t>
            </w:r>
          </w:p>
        </w:tc>
        <w:tc>
          <w:tcPr>
            <w:tcW w:w="2177" w:type="dxa"/>
            <w:shd w:val="clear" w:color="auto" w:fill="FFFF00"/>
            <w:hideMark/>
          </w:tcPr>
          <w:p w14:paraId="792C6BE9" w14:textId="77777777" w:rsidR="00D7446F" w:rsidRPr="00D7446F" w:rsidRDefault="00D7446F" w:rsidP="00D7446F">
            <w:pPr>
              <w:pStyle w:val="NormalWeb"/>
            </w:pPr>
            <w:r w:rsidRPr="00D7446F">
              <w:t>$400,000.00</w:t>
            </w:r>
          </w:p>
        </w:tc>
        <w:tc>
          <w:tcPr>
            <w:tcW w:w="4557" w:type="dxa"/>
            <w:shd w:val="clear" w:color="auto" w:fill="FFFF00"/>
            <w:hideMark/>
          </w:tcPr>
          <w:p w14:paraId="3834AF66" w14:textId="0E39D92E" w:rsidR="00D7446F" w:rsidRPr="00D7446F" w:rsidRDefault="00D7446F" w:rsidP="00D7446F">
            <w:pPr>
              <w:pStyle w:val="NormalWeb"/>
            </w:pPr>
            <w:r w:rsidRPr="00D7446F">
              <w:t>Incentive grants to nurses employed by critical access hospitals in Vermont for serving as preceptors for nursing students enrolled in VT nursing school programs.</w:t>
            </w:r>
            <w:r w:rsidR="00891EAC">
              <w:t xml:space="preserve"> </w:t>
            </w:r>
          </w:p>
        </w:tc>
        <w:tc>
          <w:tcPr>
            <w:tcW w:w="1443" w:type="dxa"/>
            <w:shd w:val="clear" w:color="auto" w:fill="FFFF00"/>
            <w:hideMark/>
          </w:tcPr>
          <w:p w14:paraId="5839A94E" w14:textId="77777777" w:rsidR="00D7446F" w:rsidRPr="00D7446F" w:rsidRDefault="00D7446F" w:rsidP="00D7446F">
            <w:pPr>
              <w:pStyle w:val="NormalWeb"/>
            </w:pPr>
            <w:r w:rsidRPr="00D7446F">
              <w:t>AHS</w:t>
            </w:r>
          </w:p>
        </w:tc>
        <w:tc>
          <w:tcPr>
            <w:tcW w:w="3674" w:type="dxa"/>
            <w:shd w:val="clear" w:color="auto" w:fill="FFFF00"/>
            <w:hideMark/>
          </w:tcPr>
          <w:p w14:paraId="3720F997" w14:textId="5484F337" w:rsidR="00D7446F" w:rsidRPr="00D7446F" w:rsidRDefault="00D7446F" w:rsidP="00D7446F">
            <w:pPr>
              <w:pStyle w:val="NormalWeb"/>
            </w:pPr>
            <w:r>
              <w:t xml:space="preserve">The plan recognizes that </w:t>
            </w:r>
            <w:r w:rsidR="00891EAC">
              <w:t xml:space="preserve">preceptor slots need to be increased to meet current and future need for nursing students to obtain the required clinical time. </w:t>
            </w:r>
          </w:p>
        </w:tc>
      </w:tr>
      <w:tr w:rsidR="00D7446F" w:rsidRPr="00D7446F" w14:paraId="0A3466A6" w14:textId="77777777" w:rsidTr="00722AC2">
        <w:trPr>
          <w:trHeight w:val="519"/>
        </w:trPr>
        <w:tc>
          <w:tcPr>
            <w:tcW w:w="1656" w:type="dxa"/>
          </w:tcPr>
          <w:p w14:paraId="149DC641" w14:textId="2C498897" w:rsidR="00D7446F" w:rsidRPr="00D7446F" w:rsidRDefault="00891EAC" w:rsidP="00D7446F">
            <w:pPr>
              <w:pStyle w:val="NormalWeb"/>
            </w:pPr>
            <w:r>
              <w:t>Preceptor Working Group</w:t>
            </w:r>
          </w:p>
        </w:tc>
        <w:tc>
          <w:tcPr>
            <w:tcW w:w="1137" w:type="dxa"/>
          </w:tcPr>
          <w:p w14:paraId="03CB6C6E" w14:textId="3EA4625E" w:rsidR="00D7446F" w:rsidRPr="00D7446F" w:rsidRDefault="00891EAC" w:rsidP="00D7446F">
            <w:pPr>
              <w:pStyle w:val="NormalWeb"/>
            </w:pPr>
            <w:r>
              <w:t>21</w:t>
            </w:r>
          </w:p>
        </w:tc>
        <w:tc>
          <w:tcPr>
            <w:tcW w:w="2177" w:type="dxa"/>
          </w:tcPr>
          <w:p w14:paraId="2E0B7002" w14:textId="4E1CD981" w:rsidR="00D7446F" w:rsidRPr="00D7446F" w:rsidRDefault="00891EAC" w:rsidP="00D7446F">
            <w:pPr>
              <w:pStyle w:val="NormalWeb"/>
            </w:pPr>
            <w:r>
              <w:t>N/A</w:t>
            </w:r>
          </w:p>
        </w:tc>
        <w:tc>
          <w:tcPr>
            <w:tcW w:w="4557" w:type="dxa"/>
          </w:tcPr>
          <w:p w14:paraId="07D4D179" w14:textId="2123B798" w:rsidR="00D7446F" w:rsidRPr="00D7446F" w:rsidRDefault="00891EAC" w:rsidP="00D7446F">
            <w:pPr>
              <w:pStyle w:val="NormalWeb"/>
            </w:pPr>
            <w:r>
              <w:t>The Director of Health Care Reform or designee in AHS shall convene a working group of stakeholders to identify ways to increase clinical placement opportunities, establish sustainable funding models for compensating nurses as preceptors or hiring additional nurses to alleviate pressure on preceptors or both and to develop an action plan for expanding clinical placement opportunities.</w:t>
            </w:r>
            <w:r w:rsidR="00722AC2">
              <w:t xml:space="preserve"> Due January 15, 2023</w:t>
            </w:r>
          </w:p>
        </w:tc>
        <w:tc>
          <w:tcPr>
            <w:tcW w:w="1443" w:type="dxa"/>
          </w:tcPr>
          <w:p w14:paraId="0A74D325" w14:textId="4E1E3A9E" w:rsidR="00D7446F" w:rsidRPr="00D7446F" w:rsidRDefault="00891EAC" w:rsidP="00D7446F">
            <w:pPr>
              <w:pStyle w:val="NormalWeb"/>
            </w:pPr>
            <w:r>
              <w:t>AHS</w:t>
            </w:r>
          </w:p>
        </w:tc>
        <w:tc>
          <w:tcPr>
            <w:tcW w:w="3674" w:type="dxa"/>
          </w:tcPr>
          <w:p w14:paraId="3ED4F128" w14:textId="0B736AA9" w:rsidR="00D7446F" w:rsidRPr="00D7446F" w:rsidRDefault="00722AC2" w:rsidP="00D7446F">
            <w:pPr>
              <w:pStyle w:val="NormalWeb"/>
            </w:pPr>
            <w:r>
              <w:t>The plan asks a workgroup to establish a preceptor model of clinical training and recommends strengthening incentives for preceptors for all professions.</w:t>
            </w:r>
          </w:p>
        </w:tc>
      </w:tr>
    </w:tbl>
    <w:p w14:paraId="740EACC0" w14:textId="72064073" w:rsidR="00023C6A" w:rsidRDefault="00023C6A"/>
    <w:p w14:paraId="74E381F9" w14:textId="77777777" w:rsidR="00023C6A" w:rsidRDefault="00023C6A"/>
    <w:tbl>
      <w:tblPr>
        <w:tblStyle w:val="TableGrid"/>
        <w:tblW w:w="14644" w:type="dxa"/>
        <w:tblLook w:val="0400" w:firstRow="0" w:lastRow="0" w:firstColumn="0" w:lastColumn="0" w:noHBand="0" w:noVBand="1"/>
      </w:tblPr>
      <w:tblGrid>
        <w:gridCol w:w="1683"/>
        <w:gridCol w:w="1060"/>
        <w:gridCol w:w="2923"/>
        <w:gridCol w:w="4776"/>
        <w:gridCol w:w="1443"/>
        <w:gridCol w:w="2759"/>
      </w:tblGrid>
      <w:tr w:rsidR="001517EC" w:rsidRPr="00D7446F" w14:paraId="1862EFE4" w14:textId="77777777" w:rsidTr="004F605D">
        <w:trPr>
          <w:trHeight w:val="519"/>
        </w:trPr>
        <w:tc>
          <w:tcPr>
            <w:tcW w:w="1683" w:type="dxa"/>
            <w:shd w:val="clear" w:color="auto" w:fill="5B9BD5" w:themeFill="accent5"/>
          </w:tcPr>
          <w:p w14:paraId="37ACCECF" w14:textId="30C90D89" w:rsidR="00722AC2" w:rsidRDefault="00722AC2" w:rsidP="00722AC2">
            <w:pPr>
              <w:pStyle w:val="NormalWeb"/>
            </w:pPr>
            <w:bookmarkStart w:id="0" w:name="_Hlk106574605"/>
            <w:r w:rsidRPr="00D7446F">
              <w:rPr>
                <w:b/>
                <w:bCs/>
              </w:rPr>
              <w:lastRenderedPageBreak/>
              <w:t>Act 183 Initiative</w:t>
            </w:r>
          </w:p>
        </w:tc>
        <w:tc>
          <w:tcPr>
            <w:tcW w:w="1060" w:type="dxa"/>
            <w:shd w:val="clear" w:color="auto" w:fill="5B9BD5" w:themeFill="accent5"/>
          </w:tcPr>
          <w:p w14:paraId="7B86B569" w14:textId="2C1902C8" w:rsidR="00722AC2" w:rsidRDefault="00722AC2" w:rsidP="00722AC2">
            <w:pPr>
              <w:pStyle w:val="NormalWeb"/>
            </w:pPr>
            <w:r w:rsidRPr="00D7446F">
              <w:rPr>
                <w:b/>
                <w:bCs/>
              </w:rPr>
              <w:t>Section</w:t>
            </w:r>
          </w:p>
        </w:tc>
        <w:tc>
          <w:tcPr>
            <w:tcW w:w="2923" w:type="dxa"/>
            <w:shd w:val="clear" w:color="auto" w:fill="5B9BD5" w:themeFill="accent5"/>
          </w:tcPr>
          <w:p w14:paraId="79EA71A8" w14:textId="168C6BC0" w:rsidR="00722AC2" w:rsidRPr="006F1992" w:rsidRDefault="00722AC2" w:rsidP="00722AC2">
            <w:pPr>
              <w:pStyle w:val="NormalWeb"/>
              <w:rPr>
                <w:b/>
                <w:bCs/>
              </w:rPr>
            </w:pPr>
            <w:r w:rsidRPr="00D7446F">
              <w:rPr>
                <w:b/>
                <w:bCs/>
              </w:rPr>
              <w:t>Investment</w:t>
            </w:r>
            <w:r w:rsidR="006F1992">
              <w:rPr>
                <w:b/>
                <w:bCs/>
              </w:rPr>
              <w:t>/Appropriation</w:t>
            </w:r>
          </w:p>
        </w:tc>
        <w:tc>
          <w:tcPr>
            <w:tcW w:w="4776" w:type="dxa"/>
            <w:shd w:val="clear" w:color="auto" w:fill="5B9BD5" w:themeFill="accent5"/>
          </w:tcPr>
          <w:p w14:paraId="32172541" w14:textId="691C1420" w:rsidR="00722AC2" w:rsidRDefault="00722AC2" w:rsidP="00722AC2">
            <w:pPr>
              <w:pStyle w:val="NormalWeb"/>
            </w:pPr>
            <w:r w:rsidRPr="00D7446F">
              <w:rPr>
                <w:b/>
                <w:bCs/>
              </w:rPr>
              <w:t>Deliverable</w:t>
            </w:r>
          </w:p>
        </w:tc>
        <w:tc>
          <w:tcPr>
            <w:tcW w:w="1443" w:type="dxa"/>
            <w:shd w:val="clear" w:color="auto" w:fill="5B9BD5" w:themeFill="accent5"/>
          </w:tcPr>
          <w:p w14:paraId="3CFD05C1" w14:textId="753D002A" w:rsidR="00722AC2" w:rsidRDefault="00722AC2" w:rsidP="00722AC2">
            <w:pPr>
              <w:pStyle w:val="NormalWeb"/>
            </w:pPr>
            <w:r w:rsidRPr="00D7446F">
              <w:rPr>
                <w:b/>
                <w:bCs/>
              </w:rPr>
              <w:t>Responsible</w:t>
            </w:r>
          </w:p>
        </w:tc>
        <w:tc>
          <w:tcPr>
            <w:tcW w:w="2759" w:type="dxa"/>
            <w:shd w:val="clear" w:color="auto" w:fill="5B9BD5" w:themeFill="accent5"/>
          </w:tcPr>
          <w:p w14:paraId="51D2A078" w14:textId="403C44B8" w:rsidR="00722AC2" w:rsidRDefault="00722AC2" w:rsidP="00722AC2">
            <w:pPr>
              <w:pStyle w:val="NormalWeb"/>
            </w:pPr>
            <w:r w:rsidRPr="00D7446F">
              <w:rPr>
                <w:b/>
                <w:bCs/>
              </w:rPr>
              <w:t>Health Care Workforce Development Strategic Plan “plan”</w:t>
            </w:r>
          </w:p>
        </w:tc>
      </w:tr>
      <w:bookmarkEnd w:id="0"/>
      <w:tr w:rsidR="00944466" w:rsidRPr="00D7446F" w14:paraId="365C349C" w14:textId="77777777" w:rsidTr="00944466">
        <w:trPr>
          <w:trHeight w:val="5633"/>
        </w:trPr>
        <w:tc>
          <w:tcPr>
            <w:tcW w:w="1683" w:type="dxa"/>
            <w:shd w:val="clear" w:color="auto" w:fill="FFFF00"/>
          </w:tcPr>
          <w:p w14:paraId="2699BE91" w14:textId="638D536C" w:rsidR="00722AC2" w:rsidRDefault="00023C6A" w:rsidP="00722AC2">
            <w:pPr>
              <w:pStyle w:val="NormalWeb"/>
            </w:pPr>
            <w:r>
              <w:t>Health Care Employer Nursing Pipeline and Apprenticeship Program</w:t>
            </w:r>
          </w:p>
        </w:tc>
        <w:tc>
          <w:tcPr>
            <w:tcW w:w="1060" w:type="dxa"/>
            <w:shd w:val="clear" w:color="auto" w:fill="FFFF00"/>
          </w:tcPr>
          <w:p w14:paraId="7330981D" w14:textId="3317C497" w:rsidR="00722AC2" w:rsidRDefault="00023C6A" w:rsidP="00722AC2">
            <w:pPr>
              <w:pStyle w:val="NormalWeb"/>
            </w:pPr>
            <w:r>
              <w:t>22</w:t>
            </w:r>
          </w:p>
        </w:tc>
        <w:tc>
          <w:tcPr>
            <w:tcW w:w="2923" w:type="dxa"/>
            <w:shd w:val="clear" w:color="auto" w:fill="FFFF00"/>
          </w:tcPr>
          <w:p w14:paraId="2A488FC4" w14:textId="0FD48489" w:rsidR="00722AC2" w:rsidRDefault="00023C6A" w:rsidP="00722AC2">
            <w:pPr>
              <w:pStyle w:val="NormalWeb"/>
            </w:pPr>
            <w:r>
              <w:t>$2,500,000.00</w:t>
            </w:r>
          </w:p>
        </w:tc>
        <w:tc>
          <w:tcPr>
            <w:tcW w:w="4776" w:type="dxa"/>
            <w:shd w:val="clear" w:color="auto" w:fill="FFFF00"/>
          </w:tcPr>
          <w:p w14:paraId="3CC0162A" w14:textId="562C2A94" w:rsidR="00722AC2" w:rsidRDefault="00023C6A" w:rsidP="00722AC2">
            <w:pPr>
              <w:pStyle w:val="NormalWeb"/>
            </w:pPr>
            <w:r>
              <w:t>Providing grants  to health care employers, including hospitals, long-term care facilities, designated and specialized service agencies, federally qualified health centers, and other health care providers, to establish or expand partnerships with Vermont nursing schools to create nursing pipeline or apprenticeship programs, or both, that will train members of the health care employers’ existing staff, including personal care attendants, licensed nursing assistances, and licensed practical nurses, to become higher-level nursing professionals. Grants shall commence in the fall of 2022. On or before September 15, 2022, the AHS shall provide an update to HROC on status of implementation.</w:t>
            </w:r>
          </w:p>
        </w:tc>
        <w:tc>
          <w:tcPr>
            <w:tcW w:w="1443" w:type="dxa"/>
            <w:shd w:val="clear" w:color="auto" w:fill="FFFF00"/>
          </w:tcPr>
          <w:p w14:paraId="301F196F" w14:textId="67F3BC21" w:rsidR="00722AC2" w:rsidRDefault="00023C6A" w:rsidP="00722AC2">
            <w:pPr>
              <w:pStyle w:val="NormalWeb"/>
            </w:pPr>
            <w:r>
              <w:t>AHS</w:t>
            </w:r>
          </w:p>
        </w:tc>
        <w:tc>
          <w:tcPr>
            <w:tcW w:w="2759" w:type="dxa"/>
            <w:shd w:val="clear" w:color="auto" w:fill="FFFF00"/>
          </w:tcPr>
          <w:p w14:paraId="34E26E0D" w14:textId="77777777" w:rsidR="006F1992" w:rsidRPr="006F1992" w:rsidRDefault="006F1992" w:rsidP="006F1992">
            <w:pPr>
              <w:rPr>
                <w:rFonts w:ascii="Times New Roman" w:eastAsia="Times New Roman" w:hAnsi="Times New Roman" w:cs="Times New Roman"/>
                <w:sz w:val="24"/>
                <w:szCs w:val="24"/>
              </w:rPr>
            </w:pPr>
            <w:bookmarkStart w:id="1" w:name="_Hlk85134404"/>
            <w:r w:rsidRPr="0094772E">
              <w:rPr>
                <w:rFonts w:ascii="Times New Roman" w:eastAsia="Times New Roman" w:hAnsi="Times New Roman" w:cs="Times New Roman"/>
                <w:sz w:val="24"/>
                <w:szCs w:val="24"/>
              </w:rPr>
              <w:t>Develop and identify strategies to streamline advancement through the nursing career ladder and upskill existing staff.</w:t>
            </w:r>
            <w:r w:rsidRPr="006F1992">
              <w:rPr>
                <w:rFonts w:ascii="Times New Roman" w:eastAsia="Times New Roman" w:hAnsi="Times New Roman" w:cs="Times New Roman"/>
                <w:b/>
                <w:bCs/>
                <w:sz w:val="24"/>
                <w:szCs w:val="24"/>
              </w:rPr>
              <w:t xml:space="preserve"> </w:t>
            </w:r>
            <w:bookmarkEnd w:id="1"/>
            <w:r w:rsidRPr="006F1992">
              <w:rPr>
                <w:rFonts w:ascii="Times New Roman" w:eastAsia="Times New Roman" w:hAnsi="Times New Roman" w:cs="Times New Roman"/>
                <w:sz w:val="24"/>
                <w:szCs w:val="24"/>
              </w:rPr>
              <w:t>Convene health care providers (</w:t>
            </w:r>
            <w:proofErr w:type="gramStart"/>
            <w:r w:rsidRPr="006F1992">
              <w:rPr>
                <w:rFonts w:ascii="Times New Roman" w:eastAsia="Times New Roman" w:hAnsi="Times New Roman" w:cs="Times New Roman"/>
                <w:sz w:val="24"/>
                <w:szCs w:val="24"/>
              </w:rPr>
              <w:t>e.g.</w:t>
            </w:r>
            <w:proofErr w:type="gramEnd"/>
            <w:r w:rsidRPr="006F1992">
              <w:rPr>
                <w:rFonts w:ascii="Times New Roman" w:eastAsia="Times New Roman" w:hAnsi="Times New Roman" w:cs="Times New Roman"/>
                <w:sz w:val="24"/>
                <w:szCs w:val="24"/>
              </w:rPr>
              <w:t xml:space="preserve"> hospitals, long-term care facilities and home health agencies) and higher education programs to develop and identify needs for on-site delivery of training and education programs to upskill existing staff (e.g.  LNAs to LPNs) and to identify ways to streamline advancement through the nursing career ladder.</w:t>
            </w:r>
          </w:p>
          <w:p w14:paraId="341F7870" w14:textId="77777777" w:rsidR="00722AC2" w:rsidRDefault="00722AC2" w:rsidP="00722AC2">
            <w:pPr>
              <w:pStyle w:val="NormalWeb"/>
            </w:pPr>
          </w:p>
        </w:tc>
      </w:tr>
      <w:tr w:rsidR="006F1992" w:rsidRPr="00D7446F" w14:paraId="37E91963" w14:textId="77777777" w:rsidTr="004F605D">
        <w:trPr>
          <w:trHeight w:val="519"/>
        </w:trPr>
        <w:tc>
          <w:tcPr>
            <w:tcW w:w="1683" w:type="dxa"/>
          </w:tcPr>
          <w:p w14:paraId="2D231670" w14:textId="399E5CD8" w:rsidR="006F1992" w:rsidRDefault="006F1992" w:rsidP="00722AC2">
            <w:pPr>
              <w:pStyle w:val="NormalWeb"/>
            </w:pPr>
            <w:r>
              <w:t>Health Care Workforce Data Center</w:t>
            </w:r>
          </w:p>
        </w:tc>
        <w:tc>
          <w:tcPr>
            <w:tcW w:w="1060" w:type="dxa"/>
          </w:tcPr>
          <w:p w14:paraId="36209297" w14:textId="3C97AB98" w:rsidR="006F1992" w:rsidRDefault="006F1992" w:rsidP="00722AC2">
            <w:pPr>
              <w:pStyle w:val="NormalWeb"/>
            </w:pPr>
            <w:r>
              <w:t>32</w:t>
            </w:r>
          </w:p>
        </w:tc>
        <w:tc>
          <w:tcPr>
            <w:tcW w:w="2923" w:type="dxa"/>
          </w:tcPr>
          <w:p w14:paraId="1AA484C6" w14:textId="3E4AE27E" w:rsidR="006F1992" w:rsidRDefault="006F1992" w:rsidP="00722AC2">
            <w:pPr>
              <w:pStyle w:val="NormalWeb"/>
            </w:pPr>
            <w:r>
              <w:t>$750,000.00</w:t>
            </w:r>
          </w:p>
        </w:tc>
        <w:tc>
          <w:tcPr>
            <w:tcW w:w="4776" w:type="dxa"/>
          </w:tcPr>
          <w:p w14:paraId="34865235" w14:textId="19A19CFF" w:rsidR="006F1992" w:rsidRDefault="006F1992" w:rsidP="00722AC2">
            <w:pPr>
              <w:pStyle w:val="NormalWeb"/>
            </w:pPr>
            <w:r>
              <w:t>Funds and full-time FTE appropriation to establish and operate a statewide Health Care Workforce Data Center.</w:t>
            </w:r>
          </w:p>
        </w:tc>
        <w:tc>
          <w:tcPr>
            <w:tcW w:w="1443" w:type="dxa"/>
          </w:tcPr>
          <w:p w14:paraId="200C9086" w14:textId="0BAFCCD9" w:rsidR="006F1992" w:rsidRDefault="006F1992" w:rsidP="00722AC2">
            <w:pPr>
              <w:pStyle w:val="NormalWeb"/>
            </w:pPr>
            <w:r>
              <w:t>AHS</w:t>
            </w:r>
          </w:p>
        </w:tc>
        <w:tc>
          <w:tcPr>
            <w:tcW w:w="2759" w:type="dxa"/>
          </w:tcPr>
          <w:p w14:paraId="1D113348" w14:textId="5D8B96DF" w:rsidR="006F1992" w:rsidRPr="006F1992" w:rsidRDefault="006F1992" w:rsidP="006F199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recommended establishing a health care workforce data center.</w:t>
            </w:r>
          </w:p>
        </w:tc>
      </w:tr>
      <w:tr w:rsidR="006F1992" w:rsidRPr="00D7446F" w14:paraId="1D921E11" w14:textId="77777777" w:rsidTr="004F605D">
        <w:trPr>
          <w:trHeight w:val="519"/>
        </w:trPr>
        <w:tc>
          <w:tcPr>
            <w:tcW w:w="1683" w:type="dxa"/>
          </w:tcPr>
          <w:p w14:paraId="5371A865" w14:textId="02CDA27B" w:rsidR="006F1992" w:rsidRDefault="0061157A" w:rsidP="00722AC2">
            <w:pPr>
              <w:pStyle w:val="NormalWeb"/>
            </w:pPr>
            <w:r>
              <w:t>Health Care Workforce Coordinator Position</w:t>
            </w:r>
          </w:p>
        </w:tc>
        <w:tc>
          <w:tcPr>
            <w:tcW w:w="1060" w:type="dxa"/>
          </w:tcPr>
          <w:p w14:paraId="4A56044E" w14:textId="742C5D35" w:rsidR="006F1992" w:rsidRDefault="0061157A" w:rsidP="00722AC2">
            <w:pPr>
              <w:pStyle w:val="NormalWeb"/>
            </w:pPr>
            <w:r>
              <w:t>34</w:t>
            </w:r>
          </w:p>
        </w:tc>
        <w:tc>
          <w:tcPr>
            <w:tcW w:w="2923" w:type="dxa"/>
          </w:tcPr>
          <w:p w14:paraId="60F00777" w14:textId="1F90BBA0" w:rsidR="00D12C0A" w:rsidRDefault="0061157A" w:rsidP="00722AC2">
            <w:pPr>
              <w:pStyle w:val="NormalWeb"/>
            </w:pPr>
            <w:r>
              <w:t>Position</w:t>
            </w:r>
            <w:r w:rsidR="00A51DC8">
              <w:t xml:space="preserve"> appropriation $170,000.00 FY2</w:t>
            </w:r>
            <w:r w:rsidR="00D12C0A">
              <w:t>3</w:t>
            </w:r>
          </w:p>
        </w:tc>
        <w:tc>
          <w:tcPr>
            <w:tcW w:w="4776" w:type="dxa"/>
          </w:tcPr>
          <w:p w14:paraId="735B45FB" w14:textId="30B8B47E" w:rsidR="006F1992" w:rsidRDefault="00D12C0A" w:rsidP="00722AC2">
            <w:pPr>
              <w:pStyle w:val="NormalWeb"/>
            </w:pPr>
            <w:r>
              <w:t>One classified, three-year limited-service Health Care workforce Coordinator position is created in the AHS Office of Health Care Reform to support the health care workforce initiatives set forth in Act 183</w:t>
            </w:r>
            <w:r w:rsidR="001517EC">
              <w:t xml:space="preserve"> and in the Health Care Workforce Development Strategic Plan</w:t>
            </w:r>
            <w:r w:rsidR="00A76D30">
              <w:t>.</w:t>
            </w:r>
          </w:p>
        </w:tc>
        <w:tc>
          <w:tcPr>
            <w:tcW w:w="1443" w:type="dxa"/>
          </w:tcPr>
          <w:p w14:paraId="0F98A1A7" w14:textId="7C391575" w:rsidR="006F1992" w:rsidRDefault="001517EC" w:rsidP="00722AC2">
            <w:pPr>
              <w:pStyle w:val="NormalWeb"/>
            </w:pPr>
            <w:r>
              <w:t>AHS</w:t>
            </w:r>
          </w:p>
        </w:tc>
        <w:tc>
          <w:tcPr>
            <w:tcW w:w="2759" w:type="dxa"/>
          </w:tcPr>
          <w:p w14:paraId="6D7E33B2" w14:textId="738D2EDB" w:rsidR="006F1992" w:rsidRPr="0094772E" w:rsidRDefault="001517EC" w:rsidP="006F1992">
            <w:pPr>
              <w:rPr>
                <w:rFonts w:ascii="Times New Roman" w:eastAsia="Times New Roman" w:hAnsi="Times New Roman" w:cs="Times New Roman"/>
                <w:sz w:val="24"/>
                <w:szCs w:val="24"/>
              </w:rPr>
            </w:pPr>
            <w:r w:rsidRPr="0094772E">
              <w:rPr>
                <w:rFonts w:ascii="Times New Roman" w:eastAsia="Times New Roman" w:hAnsi="Times New Roman" w:cs="Times New Roman"/>
                <w:sz w:val="24"/>
                <w:szCs w:val="24"/>
              </w:rPr>
              <w:t>Not recommended in the plan.</w:t>
            </w:r>
          </w:p>
        </w:tc>
      </w:tr>
    </w:tbl>
    <w:p w14:paraId="54F27C01" w14:textId="77777777" w:rsidR="004F605D" w:rsidRDefault="004F605D"/>
    <w:tbl>
      <w:tblPr>
        <w:tblStyle w:val="TableGrid"/>
        <w:tblW w:w="14644" w:type="dxa"/>
        <w:tblLook w:val="0400" w:firstRow="0" w:lastRow="0" w:firstColumn="0" w:lastColumn="0" w:noHBand="0" w:noVBand="1"/>
      </w:tblPr>
      <w:tblGrid>
        <w:gridCol w:w="1682"/>
        <w:gridCol w:w="1060"/>
        <w:gridCol w:w="2923"/>
        <w:gridCol w:w="4767"/>
        <w:gridCol w:w="1456"/>
        <w:gridCol w:w="2756"/>
      </w:tblGrid>
      <w:tr w:rsidR="006F0025" w:rsidRPr="00D7446F" w14:paraId="1B2441E2" w14:textId="77777777" w:rsidTr="004F605D">
        <w:trPr>
          <w:trHeight w:val="519"/>
        </w:trPr>
        <w:tc>
          <w:tcPr>
            <w:tcW w:w="1683" w:type="dxa"/>
            <w:shd w:val="clear" w:color="auto" w:fill="C5E0B3" w:themeFill="accent6" w:themeFillTint="66"/>
          </w:tcPr>
          <w:p w14:paraId="0F1E6026" w14:textId="73D2355B" w:rsidR="004F605D" w:rsidRDefault="004F605D" w:rsidP="004F605D">
            <w:pPr>
              <w:pStyle w:val="NormalWeb"/>
            </w:pPr>
            <w:r w:rsidRPr="00D7446F">
              <w:rPr>
                <w:b/>
                <w:bCs/>
              </w:rPr>
              <w:lastRenderedPageBreak/>
              <w:t>Act 183 Initiative</w:t>
            </w:r>
          </w:p>
        </w:tc>
        <w:tc>
          <w:tcPr>
            <w:tcW w:w="1060" w:type="dxa"/>
            <w:shd w:val="clear" w:color="auto" w:fill="C5E0B3" w:themeFill="accent6" w:themeFillTint="66"/>
          </w:tcPr>
          <w:p w14:paraId="1B5B3B9E" w14:textId="6255C982" w:rsidR="004F605D" w:rsidRDefault="004F605D" w:rsidP="004F605D">
            <w:pPr>
              <w:pStyle w:val="NormalWeb"/>
            </w:pPr>
            <w:r w:rsidRPr="00D7446F">
              <w:rPr>
                <w:b/>
                <w:bCs/>
              </w:rPr>
              <w:t>Section</w:t>
            </w:r>
          </w:p>
        </w:tc>
        <w:tc>
          <w:tcPr>
            <w:tcW w:w="2923" w:type="dxa"/>
            <w:shd w:val="clear" w:color="auto" w:fill="C5E0B3" w:themeFill="accent6" w:themeFillTint="66"/>
          </w:tcPr>
          <w:p w14:paraId="160ADD84" w14:textId="10207E56" w:rsidR="004F605D" w:rsidRDefault="004F605D" w:rsidP="004F605D">
            <w:pPr>
              <w:pStyle w:val="NormalWeb"/>
            </w:pPr>
            <w:r w:rsidRPr="00D7446F">
              <w:rPr>
                <w:b/>
                <w:bCs/>
              </w:rPr>
              <w:t>Investment</w:t>
            </w:r>
            <w:r>
              <w:rPr>
                <w:b/>
                <w:bCs/>
              </w:rPr>
              <w:t>/Appropriation</w:t>
            </w:r>
          </w:p>
        </w:tc>
        <w:tc>
          <w:tcPr>
            <w:tcW w:w="4776" w:type="dxa"/>
            <w:shd w:val="clear" w:color="auto" w:fill="C5E0B3" w:themeFill="accent6" w:themeFillTint="66"/>
          </w:tcPr>
          <w:p w14:paraId="39E0BE83" w14:textId="499B5141" w:rsidR="004F605D" w:rsidRDefault="004F605D" w:rsidP="004F605D">
            <w:pPr>
              <w:pStyle w:val="NormalWeb"/>
            </w:pPr>
            <w:r w:rsidRPr="00D7446F">
              <w:rPr>
                <w:b/>
                <w:bCs/>
              </w:rPr>
              <w:t>Deliverable</w:t>
            </w:r>
          </w:p>
        </w:tc>
        <w:tc>
          <w:tcPr>
            <w:tcW w:w="1443" w:type="dxa"/>
            <w:shd w:val="clear" w:color="auto" w:fill="C5E0B3" w:themeFill="accent6" w:themeFillTint="66"/>
          </w:tcPr>
          <w:p w14:paraId="7DF96BD9" w14:textId="6689044D" w:rsidR="004F605D" w:rsidRDefault="004F605D" w:rsidP="004F605D">
            <w:pPr>
              <w:pStyle w:val="NormalWeb"/>
            </w:pPr>
            <w:r w:rsidRPr="00D7446F">
              <w:rPr>
                <w:b/>
                <w:bCs/>
              </w:rPr>
              <w:t>Responsible</w:t>
            </w:r>
          </w:p>
        </w:tc>
        <w:tc>
          <w:tcPr>
            <w:tcW w:w="2759" w:type="dxa"/>
            <w:shd w:val="clear" w:color="auto" w:fill="C5E0B3" w:themeFill="accent6" w:themeFillTint="66"/>
          </w:tcPr>
          <w:p w14:paraId="64AB4FE0" w14:textId="3176E813" w:rsidR="004F605D" w:rsidRPr="006F1992" w:rsidRDefault="004F605D" w:rsidP="004F605D">
            <w:pPr>
              <w:rPr>
                <w:rFonts w:ascii="Times New Roman" w:eastAsia="Times New Roman" w:hAnsi="Times New Roman" w:cs="Times New Roman"/>
                <w:b/>
                <w:bCs/>
                <w:sz w:val="24"/>
                <w:szCs w:val="24"/>
              </w:rPr>
            </w:pPr>
            <w:r w:rsidRPr="00D7446F">
              <w:rPr>
                <w:rFonts w:ascii="Times New Roman" w:eastAsia="Times New Roman" w:hAnsi="Times New Roman" w:cs="Times New Roman"/>
                <w:b/>
                <w:bCs/>
                <w:sz w:val="24"/>
                <w:szCs w:val="24"/>
              </w:rPr>
              <w:t>Health Care Workforce Development Strategic Plan “plan”</w:t>
            </w:r>
          </w:p>
        </w:tc>
      </w:tr>
      <w:tr w:rsidR="004F605D" w:rsidRPr="00D7446F" w14:paraId="77EEFBDE" w14:textId="77777777" w:rsidTr="006F2973">
        <w:trPr>
          <w:trHeight w:val="519"/>
        </w:trPr>
        <w:tc>
          <w:tcPr>
            <w:tcW w:w="1683" w:type="dxa"/>
            <w:shd w:val="clear" w:color="auto" w:fill="auto"/>
          </w:tcPr>
          <w:p w14:paraId="6E137A87" w14:textId="3619A770" w:rsidR="004F605D" w:rsidRPr="00553AE8" w:rsidRDefault="00553AE8" w:rsidP="004F605D">
            <w:pPr>
              <w:pStyle w:val="NormalWeb"/>
            </w:pPr>
            <w:r>
              <w:t>Vermont Nursing Forgivable Loan Incentive Program</w:t>
            </w:r>
          </w:p>
        </w:tc>
        <w:tc>
          <w:tcPr>
            <w:tcW w:w="1060" w:type="dxa"/>
            <w:shd w:val="clear" w:color="auto" w:fill="auto"/>
          </w:tcPr>
          <w:p w14:paraId="7C507BB5" w14:textId="3ED780D6" w:rsidR="004F605D" w:rsidRPr="001A49B6" w:rsidRDefault="00941591" w:rsidP="004F605D">
            <w:pPr>
              <w:pStyle w:val="NormalWeb"/>
            </w:pPr>
            <w:r>
              <w:t>23</w:t>
            </w:r>
            <w:r w:rsidR="00A301AA">
              <w:t>, 25</w:t>
            </w:r>
          </w:p>
        </w:tc>
        <w:tc>
          <w:tcPr>
            <w:tcW w:w="2923" w:type="dxa"/>
            <w:shd w:val="clear" w:color="auto" w:fill="auto"/>
          </w:tcPr>
          <w:p w14:paraId="36A6D9E6" w14:textId="39D59892" w:rsidR="004672A7" w:rsidRPr="00471302" w:rsidRDefault="00471302" w:rsidP="004F605D">
            <w:pPr>
              <w:pStyle w:val="NormalWeb"/>
            </w:pPr>
            <w:r w:rsidRPr="00471302">
              <w:t>FY 23</w:t>
            </w:r>
            <w:r w:rsidR="00A3159B">
              <w:t>: $227</w:t>
            </w:r>
            <w:r w:rsidR="004672A7">
              <w:t>,169.00 GC</w:t>
            </w:r>
          </w:p>
        </w:tc>
        <w:tc>
          <w:tcPr>
            <w:tcW w:w="4776" w:type="dxa"/>
            <w:shd w:val="clear" w:color="auto" w:fill="auto"/>
          </w:tcPr>
          <w:p w14:paraId="3A020BDF" w14:textId="6898C1D8" w:rsidR="004F605D" w:rsidRPr="00EB692C" w:rsidRDefault="00EB692C" w:rsidP="004F605D">
            <w:pPr>
              <w:pStyle w:val="NormalWeb"/>
            </w:pPr>
            <w:r>
              <w:t>Provide forgivable loan</w:t>
            </w:r>
            <w:r w:rsidR="0006124C">
              <w:t>s (scholarships) to students enrolled in an eligible school who commit working as a nurse in the State and who meet the eligibility requirements</w:t>
            </w:r>
            <w:r w:rsidR="005C696B">
              <w:t>.</w:t>
            </w:r>
          </w:p>
        </w:tc>
        <w:tc>
          <w:tcPr>
            <w:tcW w:w="1443" w:type="dxa"/>
            <w:shd w:val="clear" w:color="auto" w:fill="auto"/>
          </w:tcPr>
          <w:p w14:paraId="7B8E3024" w14:textId="1A77DCE7" w:rsidR="004F605D" w:rsidRPr="00CA1EA4" w:rsidRDefault="00CA1EA4" w:rsidP="004F605D">
            <w:pPr>
              <w:pStyle w:val="NormalWeb"/>
            </w:pPr>
            <w:r w:rsidRPr="00CA1EA4">
              <w:t>VDH/VSAC</w:t>
            </w:r>
          </w:p>
        </w:tc>
        <w:tc>
          <w:tcPr>
            <w:tcW w:w="2759" w:type="dxa"/>
            <w:shd w:val="clear" w:color="auto" w:fill="auto"/>
          </w:tcPr>
          <w:p w14:paraId="18D9D5E2" w14:textId="2691C443" w:rsidR="004F605D" w:rsidRPr="00BC6115" w:rsidRDefault="00F46D34" w:rsidP="004F605D">
            <w:pPr>
              <w:rPr>
                <w:rFonts w:ascii="Times New Roman" w:eastAsia="Times New Roman" w:hAnsi="Times New Roman" w:cs="Times New Roman"/>
                <w:sz w:val="24"/>
                <w:szCs w:val="24"/>
              </w:rPr>
            </w:pPr>
            <w:r w:rsidRPr="00BC6115">
              <w:rPr>
                <w:rFonts w:ascii="Times New Roman" w:eastAsia="Times New Roman" w:hAnsi="Times New Roman" w:cs="Times New Roman"/>
                <w:sz w:val="24"/>
                <w:szCs w:val="24"/>
              </w:rPr>
              <w:t>Increase scholarship funding created by Act 155 of 2020</w:t>
            </w:r>
            <w:r w:rsidR="00BC6115">
              <w:rPr>
                <w:rFonts w:ascii="Times New Roman" w:eastAsia="Times New Roman" w:hAnsi="Times New Roman" w:cs="Times New Roman"/>
                <w:sz w:val="24"/>
                <w:szCs w:val="24"/>
              </w:rPr>
              <w:t xml:space="preserve"> and identify permanent funding source.</w:t>
            </w:r>
          </w:p>
        </w:tc>
      </w:tr>
      <w:tr w:rsidR="006F2973" w:rsidRPr="00D7446F" w14:paraId="17CCC6D6" w14:textId="77777777" w:rsidTr="006F2973">
        <w:trPr>
          <w:trHeight w:val="519"/>
        </w:trPr>
        <w:tc>
          <w:tcPr>
            <w:tcW w:w="1683" w:type="dxa"/>
            <w:shd w:val="clear" w:color="auto" w:fill="auto"/>
          </w:tcPr>
          <w:p w14:paraId="17752BF3" w14:textId="114723A9" w:rsidR="006F2973" w:rsidRPr="00AF572F" w:rsidRDefault="00AF572F" w:rsidP="004F605D">
            <w:pPr>
              <w:pStyle w:val="NormalWeb"/>
            </w:pPr>
            <w:r>
              <w:t>Vermont Health Care Professional Loan Repayment Program</w:t>
            </w:r>
          </w:p>
        </w:tc>
        <w:tc>
          <w:tcPr>
            <w:tcW w:w="1060" w:type="dxa"/>
            <w:shd w:val="clear" w:color="auto" w:fill="auto"/>
          </w:tcPr>
          <w:p w14:paraId="0523C24D" w14:textId="54BE11CF" w:rsidR="006F2973" w:rsidRPr="006F0025" w:rsidRDefault="006F0025" w:rsidP="004F605D">
            <w:pPr>
              <w:pStyle w:val="NormalWeb"/>
            </w:pPr>
            <w:r w:rsidRPr="006F0025">
              <w:t>26</w:t>
            </w:r>
            <w:r w:rsidR="00A301AA">
              <w:t>, 27</w:t>
            </w:r>
          </w:p>
        </w:tc>
        <w:tc>
          <w:tcPr>
            <w:tcW w:w="2923" w:type="dxa"/>
            <w:shd w:val="clear" w:color="auto" w:fill="auto"/>
          </w:tcPr>
          <w:p w14:paraId="47E1C037" w14:textId="633118CA" w:rsidR="006F2973" w:rsidRPr="00A301AA" w:rsidRDefault="00A301AA" w:rsidP="004F605D">
            <w:pPr>
              <w:pStyle w:val="NormalWeb"/>
            </w:pPr>
            <w:r w:rsidRPr="00A301AA">
              <w:t>$2,000,000.00</w:t>
            </w:r>
          </w:p>
        </w:tc>
        <w:tc>
          <w:tcPr>
            <w:tcW w:w="4776" w:type="dxa"/>
            <w:shd w:val="clear" w:color="auto" w:fill="auto"/>
          </w:tcPr>
          <w:p w14:paraId="3A97D952" w14:textId="343D5249" w:rsidR="006F2973" w:rsidRPr="00A301AA" w:rsidRDefault="002876BB" w:rsidP="004F605D">
            <w:pPr>
              <w:pStyle w:val="NormalWeb"/>
              <w:rPr>
                <w:b/>
                <w:bCs/>
              </w:rPr>
            </w:pPr>
            <w:r w:rsidRPr="00A301AA">
              <w:t>The Program provides loan repayment on behalf of individuals who live and work in this State as a nurse, physician assistant, medical technician, child psychiatrist, or primary care provider and who meet the eligibility requirements</w:t>
            </w:r>
            <w:r w:rsidRPr="00A301AA">
              <w:t>.</w:t>
            </w:r>
          </w:p>
        </w:tc>
        <w:tc>
          <w:tcPr>
            <w:tcW w:w="1443" w:type="dxa"/>
            <w:shd w:val="clear" w:color="auto" w:fill="auto"/>
          </w:tcPr>
          <w:p w14:paraId="6E78E25F" w14:textId="188A1F2A" w:rsidR="006F2973" w:rsidRPr="006F0025" w:rsidRDefault="006F0025" w:rsidP="004F605D">
            <w:pPr>
              <w:pStyle w:val="NormalWeb"/>
            </w:pPr>
            <w:r w:rsidRPr="006F0025">
              <w:t>VDH/AHEC</w:t>
            </w:r>
          </w:p>
        </w:tc>
        <w:tc>
          <w:tcPr>
            <w:tcW w:w="2759" w:type="dxa"/>
            <w:shd w:val="clear" w:color="auto" w:fill="auto"/>
          </w:tcPr>
          <w:p w14:paraId="2E915092" w14:textId="6DD15224" w:rsidR="006F2973" w:rsidRPr="00D7446F" w:rsidRDefault="00116974" w:rsidP="004F605D">
            <w:pPr>
              <w:rPr>
                <w:rFonts w:ascii="Times New Roman" w:eastAsia="Times New Roman" w:hAnsi="Times New Roman" w:cs="Times New Roman"/>
                <w:b/>
                <w:bCs/>
                <w:sz w:val="24"/>
                <w:szCs w:val="24"/>
              </w:rPr>
            </w:pPr>
            <w:r w:rsidRPr="00D643C5">
              <w:rPr>
                <w:rFonts w:ascii="Times New Roman" w:hAnsi="Times New Roman" w:cs="Times New Roman"/>
                <w:sz w:val="24"/>
                <w:szCs w:val="24"/>
              </w:rPr>
              <w:t>Broaden</w:t>
            </w:r>
            <w:r>
              <w:rPr>
                <w:rFonts w:ascii="Times New Roman" w:hAnsi="Times New Roman" w:cs="Times New Roman"/>
                <w:sz w:val="24"/>
                <w:szCs w:val="24"/>
              </w:rPr>
              <w:t xml:space="preserve"> and expand</w:t>
            </w:r>
            <w:r w:rsidRPr="00D643C5">
              <w:rPr>
                <w:rFonts w:ascii="Times New Roman" w:hAnsi="Times New Roman" w:cs="Times New Roman"/>
                <w:sz w:val="24"/>
                <w:szCs w:val="24"/>
              </w:rPr>
              <w:t xml:space="preserve"> loan repayment to more professional types.</w:t>
            </w:r>
          </w:p>
        </w:tc>
      </w:tr>
      <w:tr w:rsidR="00116974" w:rsidRPr="00D7446F" w14:paraId="0CBB35FD" w14:textId="77777777" w:rsidTr="006F2973">
        <w:trPr>
          <w:trHeight w:val="519"/>
        </w:trPr>
        <w:tc>
          <w:tcPr>
            <w:tcW w:w="1683" w:type="dxa"/>
            <w:shd w:val="clear" w:color="auto" w:fill="auto"/>
          </w:tcPr>
          <w:p w14:paraId="491CC144" w14:textId="3D088826" w:rsidR="00116974" w:rsidRDefault="006C1EF9" w:rsidP="004F605D">
            <w:pPr>
              <w:pStyle w:val="NormalWeb"/>
            </w:pPr>
            <w:r>
              <w:t>Nurse Faculty Forgivable Loan Incentive Program</w:t>
            </w:r>
          </w:p>
        </w:tc>
        <w:tc>
          <w:tcPr>
            <w:tcW w:w="1060" w:type="dxa"/>
            <w:shd w:val="clear" w:color="auto" w:fill="auto"/>
          </w:tcPr>
          <w:p w14:paraId="6F2F2ECF" w14:textId="6343C5A0" w:rsidR="00116974" w:rsidRPr="006F0025" w:rsidRDefault="006C1EF9" w:rsidP="004F605D">
            <w:pPr>
              <w:pStyle w:val="NormalWeb"/>
            </w:pPr>
            <w:r>
              <w:t>28, 29</w:t>
            </w:r>
          </w:p>
        </w:tc>
        <w:tc>
          <w:tcPr>
            <w:tcW w:w="2923" w:type="dxa"/>
            <w:shd w:val="clear" w:color="auto" w:fill="auto"/>
          </w:tcPr>
          <w:p w14:paraId="0023A4A1" w14:textId="5211EEF7" w:rsidR="00116974" w:rsidRPr="00A301AA" w:rsidRDefault="0048150A" w:rsidP="004F605D">
            <w:pPr>
              <w:pStyle w:val="NormalWeb"/>
            </w:pPr>
            <w:r>
              <w:t>$500,000.00</w:t>
            </w:r>
          </w:p>
        </w:tc>
        <w:tc>
          <w:tcPr>
            <w:tcW w:w="4776" w:type="dxa"/>
            <w:shd w:val="clear" w:color="auto" w:fill="auto"/>
          </w:tcPr>
          <w:p w14:paraId="726F577A" w14:textId="1FE10972" w:rsidR="00116974" w:rsidRPr="00A301AA" w:rsidRDefault="0048150A" w:rsidP="004F605D">
            <w:pPr>
              <w:pStyle w:val="NormalWeb"/>
            </w:pPr>
            <w:r>
              <w:rPr>
                <w:sz w:val="23"/>
                <w:szCs w:val="23"/>
              </w:rPr>
              <w:t>The Program provides forgivable loans</w:t>
            </w:r>
            <w:r>
              <w:rPr>
                <w:sz w:val="23"/>
                <w:szCs w:val="23"/>
              </w:rPr>
              <w:t xml:space="preserve"> (scholarships)</w:t>
            </w:r>
            <w:r>
              <w:rPr>
                <w:sz w:val="23"/>
                <w:szCs w:val="23"/>
              </w:rPr>
              <w:t xml:space="preserve"> to students enrolled in an eligible school who commit to working as a member of the nurse faculty at a nursing school in this State and who meet the eligibility requirements</w:t>
            </w:r>
            <w:r w:rsidR="009F7123">
              <w:rPr>
                <w:sz w:val="23"/>
                <w:szCs w:val="23"/>
              </w:rPr>
              <w:t>.</w:t>
            </w:r>
          </w:p>
        </w:tc>
        <w:tc>
          <w:tcPr>
            <w:tcW w:w="1443" w:type="dxa"/>
            <w:shd w:val="clear" w:color="auto" w:fill="auto"/>
          </w:tcPr>
          <w:p w14:paraId="347BDCDB" w14:textId="75E4E34E" w:rsidR="00116974" w:rsidRPr="006F0025" w:rsidRDefault="009F7123" w:rsidP="004F605D">
            <w:pPr>
              <w:pStyle w:val="NormalWeb"/>
            </w:pPr>
            <w:r>
              <w:t>VDH/VSAC</w:t>
            </w:r>
          </w:p>
        </w:tc>
        <w:tc>
          <w:tcPr>
            <w:tcW w:w="2759" w:type="dxa"/>
            <w:shd w:val="clear" w:color="auto" w:fill="auto"/>
          </w:tcPr>
          <w:p w14:paraId="0ED49740" w14:textId="086B342E" w:rsidR="00116974" w:rsidRPr="00D643C5" w:rsidRDefault="00266C79" w:rsidP="004F605D">
            <w:pPr>
              <w:rPr>
                <w:rFonts w:ascii="Times New Roman" w:hAnsi="Times New Roman" w:cs="Times New Roman"/>
                <w:sz w:val="24"/>
                <w:szCs w:val="24"/>
              </w:rPr>
            </w:pPr>
            <w:r>
              <w:rPr>
                <w:rFonts w:ascii="Times New Roman" w:hAnsi="Times New Roman" w:cs="Times New Roman"/>
                <w:sz w:val="24"/>
                <w:szCs w:val="24"/>
              </w:rPr>
              <w:t xml:space="preserve">The plan </w:t>
            </w:r>
            <w:r w:rsidR="00D97864">
              <w:rPr>
                <w:rFonts w:ascii="Times New Roman" w:hAnsi="Times New Roman" w:cs="Times New Roman"/>
                <w:sz w:val="24"/>
                <w:szCs w:val="24"/>
              </w:rPr>
              <w:t xml:space="preserve">recommends a working group </w:t>
            </w:r>
            <w:r w:rsidR="001850DF">
              <w:rPr>
                <w:rFonts w:ascii="Times New Roman" w:hAnsi="Times New Roman" w:cs="Times New Roman"/>
                <w:sz w:val="24"/>
                <w:szCs w:val="24"/>
              </w:rPr>
              <w:t xml:space="preserve">advise on </w:t>
            </w:r>
            <w:r w:rsidR="00E154D7">
              <w:rPr>
                <w:rFonts w:ascii="Times New Roman" w:hAnsi="Times New Roman" w:cs="Times New Roman"/>
                <w:sz w:val="24"/>
                <w:szCs w:val="24"/>
              </w:rPr>
              <w:t>how nurse faculty are included in increased scholarship funding.</w:t>
            </w:r>
          </w:p>
        </w:tc>
      </w:tr>
      <w:tr w:rsidR="006C1EF9" w:rsidRPr="00D7446F" w14:paraId="574F3B63" w14:textId="77777777" w:rsidTr="006F2973">
        <w:trPr>
          <w:trHeight w:val="519"/>
        </w:trPr>
        <w:tc>
          <w:tcPr>
            <w:tcW w:w="1683" w:type="dxa"/>
            <w:shd w:val="clear" w:color="auto" w:fill="auto"/>
          </w:tcPr>
          <w:p w14:paraId="066065AD" w14:textId="0CF0FB1C" w:rsidR="006C1EF9" w:rsidRDefault="00691D4D" w:rsidP="004F605D">
            <w:pPr>
              <w:pStyle w:val="NormalWeb"/>
            </w:pPr>
            <w:r>
              <w:t>Nurse Faculty Loan Repayment Program</w:t>
            </w:r>
          </w:p>
        </w:tc>
        <w:tc>
          <w:tcPr>
            <w:tcW w:w="1060" w:type="dxa"/>
            <w:shd w:val="clear" w:color="auto" w:fill="auto"/>
          </w:tcPr>
          <w:p w14:paraId="3B29567E" w14:textId="02C2826A" w:rsidR="006C1EF9" w:rsidRPr="006F0025" w:rsidRDefault="00691D4D" w:rsidP="004F605D">
            <w:pPr>
              <w:pStyle w:val="NormalWeb"/>
            </w:pPr>
            <w:r>
              <w:t>29a</w:t>
            </w:r>
            <w:r w:rsidR="00EB4234">
              <w:t>, b</w:t>
            </w:r>
          </w:p>
        </w:tc>
        <w:tc>
          <w:tcPr>
            <w:tcW w:w="2923" w:type="dxa"/>
            <w:shd w:val="clear" w:color="auto" w:fill="auto"/>
          </w:tcPr>
          <w:p w14:paraId="3BE805E7" w14:textId="5EB99932" w:rsidR="006C1EF9" w:rsidRPr="00A301AA" w:rsidRDefault="00E4165A" w:rsidP="004F605D">
            <w:pPr>
              <w:pStyle w:val="NormalWeb"/>
            </w:pPr>
            <w:r>
              <w:t>$500,000.00</w:t>
            </w:r>
          </w:p>
        </w:tc>
        <w:tc>
          <w:tcPr>
            <w:tcW w:w="4776" w:type="dxa"/>
            <w:shd w:val="clear" w:color="auto" w:fill="auto"/>
          </w:tcPr>
          <w:p w14:paraId="4F37387F" w14:textId="19DCB8E5" w:rsidR="006C1EF9" w:rsidRPr="00A301AA" w:rsidRDefault="00F73AA9" w:rsidP="004F605D">
            <w:pPr>
              <w:pStyle w:val="NormalWeb"/>
            </w:pPr>
            <w:r>
              <w:t xml:space="preserve">The program provides loan repayment on behalf of individuals who work as </w:t>
            </w:r>
            <w:r w:rsidR="00A9086F">
              <w:t>nurse faculty members at a nursing school in this State who meet the eligibility requirements.</w:t>
            </w:r>
          </w:p>
        </w:tc>
        <w:tc>
          <w:tcPr>
            <w:tcW w:w="1443" w:type="dxa"/>
            <w:shd w:val="clear" w:color="auto" w:fill="auto"/>
          </w:tcPr>
          <w:p w14:paraId="147F4837" w14:textId="20AD7C72" w:rsidR="006C1EF9" w:rsidRPr="006F0025" w:rsidRDefault="00A9086F" w:rsidP="004F605D">
            <w:pPr>
              <w:pStyle w:val="NormalWeb"/>
            </w:pPr>
            <w:r>
              <w:t>VDH/AHEC</w:t>
            </w:r>
          </w:p>
        </w:tc>
        <w:tc>
          <w:tcPr>
            <w:tcW w:w="2759" w:type="dxa"/>
            <w:shd w:val="clear" w:color="auto" w:fill="auto"/>
          </w:tcPr>
          <w:p w14:paraId="720224EB" w14:textId="4278A525" w:rsidR="006C1EF9" w:rsidRPr="00D643C5" w:rsidRDefault="00A9086F" w:rsidP="004F605D">
            <w:pPr>
              <w:rPr>
                <w:rFonts w:ascii="Times New Roman" w:hAnsi="Times New Roman" w:cs="Times New Roman"/>
                <w:sz w:val="24"/>
                <w:szCs w:val="24"/>
              </w:rPr>
            </w:pPr>
            <w:r>
              <w:rPr>
                <w:rFonts w:ascii="Times New Roman" w:hAnsi="Times New Roman" w:cs="Times New Roman"/>
                <w:sz w:val="24"/>
                <w:szCs w:val="24"/>
              </w:rPr>
              <w:t xml:space="preserve">The plan recommends </w:t>
            </w:r>
            <w:r w:rsidR="00E4165A">
              <w:rPr>
                <w:rFonts w:ascii="Times New Roman" w:hAnsi="Times New Roman" w:cs="Times New Roman"/>
                <w:sz w:val="24"/>
                <w:szCs w:val="24"/>
              </w:rPr>
              <w:t>broadening and expanding loan repayment more professional types.</w:t>
            </w:r>
          </w:p>
        </w:tc>
      </w:tr>
      <w:tr w:rsidR="006C1EF9" w:rsidRPr="00D7446F" w14:paraId="45D4A191" w14:textId="77777777" w:rsidTr="006F2973">
        <w:trPr>
          <w:trHeight w:val="519"/>
        </w:trPr>
        <w:tc>
          <w:tcPr>
            <w:tcW w:w="1683" w:type="dxa"/>
            <w:shd w:val="clear" w:color="auto" w:fill="auto"/>
          </w:tcPr>
          <w:p w14:paraId="761E963A" w14:textId="0AE9F2E6" w:rsidR="006C1EF9" w:rsidRDefault="00FC5130" w:rsidP="004F605D">
            <w:pPr>
              <w:pStyle w:val="NormalWeb"/>
            </w:pPr>
            <w:r>
              <w:t>Vermont Mental Health Professional</w:t>
            </w:r>
            <w:r w:rsidR="00EB4234">
              <w:t xml:space="preserve"> Forgivable Loan Incentive Program</w:t>
            </w:r>
          </w:p>
        </w:tc>
        <w:tc>
          <w:tcPr>
            <w:tcW w:w="1060" w:type="dxa"/>
            <w:shd w:val="clear" w:color="auto" w:fill="auto"/>
          </w:tcPr>
          <w:p w14:paraId="0E761C8B" w14:textId="4A0CDB89" w:rsidR="006C1EF9" w:rsidRPr="006F0025" w:rsidRDefault="00EB4234" w:rsidP="004F605D">
            <w:pPr>
              <w:pStyle w:val="NormalWeb"/>
            </w:pPr>
            <w:r>
              <w:t>29c, d</w:t>
            </w:r>
          </w:p>
        </w:tc>
        <w:tc>
          <w:tcPr>
            <w:tcW w:w="2923" w:type="dxa"/>
            <w:shd w:val="clear" w:color="auto" w:fill="auto"/>
          </w:tcPr>
          <w:p w14:paraId="6431C282" w14:textId="61B55CD5" w:rsidR="006C1EF9" w:rsidRPr="00A301AA" w:rsidRDefault="00583F8D" w:rsidP="004F605D">
            <w:pPr>
              <w:pStyle w:val="NormalWeb"/>
            </w:pPr>
            <w:r>
              <w:t>$1,500,000.00</w:t>
            </w:r>
          </w:p>
        </w:tc>
        <w:tc>
          <w:tcPr>
            <w:tcW w:w="4776" w:type="dxa"/>
            <w:shd w:val="clear" w:color="auto" w:fill="auto"/>
          </w:tcPr>
          <w:p w14:paraId="63FFD00A" w14:textId="6AE67434" w:rsidR="006C1EF9" w:rsidRPr="00A301AA" w:rsidRDefault="003906A5" w:rsidP="004F605D">
            <w:pPr>
              <w:pStyle w:val="NormalWeb"/>
            </w:pPr>
            <w:r>
              <w:rPr>
                <w:sz w:val="23"/>
                <w:szCs w:val="23"/>
              </w:rPr>
              <w:t>The Program provides forgivable loans to students enrolled in a master’s program at an eligible school who commit to working as a mental health professional in this State and who meet the eligibility requirements</w:t>
            </w:r>
          </w:p>
        </w:tc>
        <w:tc>
          <w:tcPr>
            <w:tcW w:w="1443" w:type="dxa"/>
            <w:shd w:val="clear" w:color="auto" w:fill="auto"/>
          </w:tcPr>
          <w:p w14:paraId="67DCEF2A" w14:textId="769E46E1" w:rsidR="006C1EF9" w:rsidRPr="006F0025" w:rsidRDefault="00583F8D" w:rsidP="004F605D">
            <w:pPr>
              <w:pStyle w:val="NormalWeb"/>
            </w:pPr>
            <w:r>
              <w:t>VDH/VSAC</w:t>
            </w:r>
          </w:p>
        </w:tc>
        <w:tc>
          <w:tcPr>
            <w:tcW w:w="2759" w:type="dxa"/>
            <w:shd w:val="clear" w:color="auto" w:fill="auto"/>
          </w:tcPr>
          <w:p w14:paraId="21D00ECD" w14:textId="6A500453" w:rsidR="006C1EF9" w:rsidRPr="00D643C5" w:rsidRDefault="00A437A5" w:rsidP="004F605D">
            <w:pPr>
              <w:rPr>
                <w:rFonts w:ascii="Times New Roman" w:hAnsi="Times New Roman" w:cs="Times New Roman"/>
                <w:sz w:val="24"/>
                <w:szCs w:val="24"/>
              </w:rPr>
            </w:pPr>
            <w:r>
              <w:rPr>
                <w:rFonts w:ascii="Times New Roman" w:hAnsi="Times New Roman" w:cs="Times New Roman"/>
                <w:sz w:val="24"/>
                <w:szCs w:val="24"/>
              </w:rPr>
              <w:t xml:space="preserve">The </w:t>
            </w:r>
            <w:r w:rsidR="00F10DC0">
              <w:rPr>
                <w:rFonts w:ascii="Times New Roman" w:hAnsi="Times New Roman" w:cs="Times New Roman"/>
                <w:sz w:val="24"/>
                <w:szCs w:val="24"/>
              </w:rPr>
              <w:t>plan recommends a working group advise on expanding</w:t>
            </w:r>
            <w:r w:rsidR="00EB4234">
              <w:rPr>
                <w:rFonts w:ascii="Times New Roman" w:hAnsi="Times New Roman" w:cs="Times New Roman"/>
                <w:sz w:val="24"/>
                <w:szCs w:val="24"/>
              </w:rPr>
              <w:t xml:space="preserve"> scholarship </w:t>
            </w:r>
            <w:proofErr w:type="gramStart"/>
            <w:r w:rsidR="00EB4234">
              <w:rPr>
                <w:rFonts w:ascii="Times New Roman" w:hAnsi="Times New Roman" w:cs="Times New Roman"/>
                <w:sz w:val="24"/>
                <w:szCs w:val="24"/>
              </w:rPr>
              <w:t>an</w:t>
            </w:r>
            <w:proofErr w:type="gramEnd"/>
            <w:r w:rsidR="00EB4234">
              <w:rPr>
                <w:rFonts w:ascii="Times New Roman" w:hAnsi="Times New Roman" w:cs="Times New Roman"/>
                <w:sz w:val="24"/>
                <w:szCs w:val="24"/>
              </w:rPr>
              <w:t xml:space="preserve"> service opportunities to more professional types.</w:t>
            </w:r>
          </w:p>
        </w:tc>
      </w:tr>
      <w:tr w:rsidR="00D573BF" w:rsidRPr="00D7446F" w14:paraId="1566AF03" w14:textId="77777777" w:rsidTr="00944466">
        <w:trPr>
          <w:trHeight w:val="519"/>
        </w:trPr>
        <w:tc>
          <w:tcPr>
            <w:tcW w:w="1683" w:type="dxa"/>
            <w:shd w:val="clear" w:color="auto" w:fill="FFFF00"/>
          </w:tcPr>
          <w:p w14:paraId="6E35F925" w14:textId="198DB9EC" w:rsidR="00D573BF" w:rsidRDefault="00D573BF" w:rsidP="004F605D">
            <w:pPr>
              <w:pStyle w:val="NormalWeb"/>
            </w:pPr>
            <w:r>
              <w:t>Designated and Specialized Service Agencies Workforce Development</w:t>
            </w:r>
          </w:p>
        </w:tc>
        <w:tc>
          <w:tcPr>
            <w:tcW w:w="1060" w:type="dxa"/>
            <w:shd w:val="clear" w:color="auto" w:fill="FFFF00"/>
          </w:tcPr>
          <w:p w14:paraId="27A3EA51" w14:textId="0698C457" w:rsidR="00D573BF" w:rsidRDefault="00D573BF" w:rsidP="004F605D">
            <w:pPr>
              <w:pStyle w:val="NormalWeb"/>
            </w:pPr>
            <w:r>
              <w:t>29e</w:t>
            </w:r>
          </w:p>
        </w:tc>
        <w:tc>
          <w:tcPr>
            <w:tcW w:w="2923" w:type="dxa"/>
            <w:shd w:val="clear" w:color="auto" w:fill="FFFF00"/>
          </w:tcPr>
          <w:p w14:paraId="5660F23A" w14:textId="01DA86EF" w:rsidR="00D573BF" w:rsidRDefault="001F196C" w:rsidP="004F605D">
            <w:pPr>
              <w:pStyle w:val="NormalWeb"/>
            </w:pPr>
            <w:r>
              <w:t>$1,250,000.00</w:t>
            </w:r>
          </w:p>
        </w:tc>
        <w:tc>
          <w:tcPr>
            <w:tcW w:w="4776" w:type="dxa"/>
            <w:shd w:val="clear" w:color="auto" w:fill="FFFF00"/>
          </w:tcPr>
          <w:p w14:paraId="60397BE0" w14:textId="6CAA9496" w:rsidR="00D573BF" w:rsidRDefault="001F196C" w:rsidP="004F605D">
            <w:pPr>
              <w:pStyle w:val="NormalWeb"/>
              <w:rPr>
                <w:sz w:val="23"/>
                <w:szCs w:val="23"/>
              </w:rPr>
            </w:pPr>
            <w:r>
              <w:rPr>
                <w:sz w:val="23"/>
                <w:szCs w:val="23"/>
              </w:rPr>
              <w:t>The designated and specialized service agencies shall use these funds for loan repayment and tuition assistance to promote the recruitment and retention of high-quality mental health and substance use disorder treatment professionals available to Vermont residents in need of their services</w:t>
            </w:r>
            <w:r>
              <w:rPr>
                <w:sz w:val="23"/>
                <w:szCs w:val="23"/>
              </w:rPr>
              <w:t>.</w:t>
            </w:r>
          </w:p>
        </w:tc>
        <w:tc>
          <w:tcPr>
            <w:tcW w:w="1443" w:type="dxa"/>
            <w:shd w:val="clear" w:color="auto" w:fill="FFFF00"/>
          </w:tcPr>
          <w:p w14:paraId="1852344B" w14:textId="1B51B6F4" w:rsidR="00D573BF" w:rsidRDefault="001C5351" w:rsidP="004F605D">
            <w:pPr>
              <w:pStyle w:val="NormalWeb"/>
            </w:pPr>
            <w:r>
              <w:t>AHS</w:t>
            </w:r>
          </w:p>
        </w:tc>
        <w:tc>
          <w:tcPr>
            <w:tcW w:w="2759" w:type="dxa"/>
            <w:shd w:val="clear" w:color="auto" w:fill="FFFF00"/>
          </w:tcPr>
          <w:p w14:paraId="24ACD4A6" w14:textId="769F7434" w:rsidR="00D573BF" w:rsidRDefault="001C5351" w:rsidP="004F605D">
            <w:pPr>
              <w:rPr>
                <w:rFonts w:ascii="Times New Roman" w:hAnsi="Times New Roman" w:cs="Times New Roman"/>
                <w:sz w:val="24"/>
                <w:szCs w:val="24"/>
              </w:rPr>
            </w:pPr>
            <w:r>
              <w:rPr>
                <w:rFonts w:ascii="Times New Roman" w:hAnsi="Times New Roman" w:cs="Times New Roman"/>
                <w:sz w:val="24"/>
                <w:szCs w:val="24"/>
              </w:rPr>
              <w:t>The plan discusses loan repayment and tuition</w:t>
            </w:r>
            <w:r w:rsidR="00116230">
              <w:rPr>
                <w:rFonts w:ascii="Times New Roman" w:hAnsi="Times New Roman" w:cs="Times New Roman"/>
                <w:sz w:val="24"/>
                <w:szCs w:val="24"/>
              </w:rPr>
              <w:t xml:space="preserve"> assistance as important recruitment and retention tools and recommends a workgroup indicate how to expand such programs.</w:t>
            </w:r>
          </w:p>
        </w:tc>
      </w:tr>
    </w:tbl>
    <w:p w14:paraId="19326693" w14:textId="77777777" w:rsidR="00D7446F" w:rsidRDefault="00D7446F" w:rsidP="00D7446F">
      <w:pPr>
        <w:pStyle w:val="NormalWeb"/>
        <w:spacing w:before="0" w:beforeAutospacing="0" w:after="0" w:afterAutospacing="0"/>
      </w:pPr>
    </w:p>
    <w:sectPr w:rsidR="00D7446F" w:rsidSect="00D7446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F429F"/>
    <w:multiLevelType w:val="hybridMultilevel"/>
    <w:tmpl w:val="042449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42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96"/>
    <w:rsid w:val="00023C6A"/>
    <w:rsid w:val="0006124C"/>
    <w:rsid w:val="00116230"/>
    <w:rsid w:val="00116974"/>
    <w:rsid w:val="001517EC"/>
    <w:rsid w:val="001850DF"/>
    <w:rsid w:val="001A49B6"/>
    <w:rsid w:val="001C5351"/>
    <w:rsid w:val="001F196C"/>
    <w:rsid w:val="00266C79"/>
    <w:rsid w:val="002876BB"/>
    <w:rsid w:val="003906A5"/>
    <w:rsid w:val="004672A7"/>
    <w:rsid w:val="00471302"/>
    <w:rsid w:val="0048150A"/>
    <w:rsid w:val="004F605D"/>
    <w:rsid w:val="00553AE8"/>
    <w:rsid w:val="00583F8D"/>
    <w:rsid w:val="005B607B"/>
    <w:rsid w:val="005C696B"/>
    <w:rsid w:val="0061157A"/>
    <w:rsid w:val="00691D4D"/>
    <w:rsid w:val="006C1EF9"/>
    <w:rsid w:val="006F0025"/>
    <w:rsid w:val="006F1992"/>
    <w:rsid w:val="006F2973"/>
    <w:rsid w:val="00722AC2"/>
    <w:rsid w:val="007261E4"/>
    <w:rsid w:val="00891EAC"/>
    <w:rsid w:val="008C0796"/>
    <w:rsid w:val="00941591"/>
    <w:rsid w:val="00944466"/>
    <w:rsid w:val="0094772E"/>
    <w:rsid w:val="009F4A06"/>
    <w:rsid w:val="009F7123"/>
    <w:rsid w:val="00A301AA"/>
    <w:rsid w:val="00A3159B"/>
    <w:rsid w:val="00A437A5"/>
    <w:rsid w:val="00A51DC8"/>
    <w:rsid w:val="00A76D30"/>
    <w:rsid w:val="00A9086F"/>
    <w:rsid w:val="00AF572F"/>
    <w:rsid w:val="00B11A56"/>
    <w:rsid w:val="00BC6115"/>
    <w:rsid w:val="00CA1EA4"/>
    <w:rsid w:val="00D12C0A"/>
    <w:rsid w:val="00D5141D"/>
    <w:rsid w:val="00D573BF"/>
    <w:rsid w:val="00D7446F"/>
    <w:rsid w:val="00D97864"/>
    <w:rsid w:val="00E154D7"/>
    <w:rsid w:val="00E4165A"/>
    <w:rsid w:val="00EA3EB9"/>
    <w:rsid w:val="00EB4234"/>
    <w:rsid w:val="00EB692C"/>
    <w:rsid w:val="00F10DC0"/>
    <w:rsid w:val="00F46D34"/>
    <w:rsid w:val="00F73AA9"/>
    <w:rsid w:val="00FC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E165"/>
  <w15:chartTrackingRefBased/>
  <w15:docId w15:val="{954D688E-4965-4FED-AE95-116D5FDB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79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22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1992"/>
    <w:pPr>
      <w:spacing w:after="120" w:line="264" w:lineRule="auto"/>
      <w:ind w:left="720"/>
      <w:contextualSpacing/>
    </w:pPr>
    <w:rPr>
      <w:rFonts w:eastAsiaTheme="minorEastAsia"/>
      <w:sz w:val="21"/>
      <w:szCs w:val="21"/>
    </w:rPr>
  </w:style>
  <w:style w:type="character" w:customStyle="1" w:styleId="ListParagraphChar">
    <w:name w:val="List Paragraph Char"/>
    <w:basedOn w:val="DefaultParagraphFont"/>
    <w:link w:val="ListParagraph"/>
    <w:uiPriority w:val="34"/>
    <w:locked/>
    <w:rsid w:val="006F1992"/>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655121">
      <w:bodyDiv w:val="1"/>
      <w:marLeft w:val="0"/>
      <w:marRight w:val="0"/>
      <w:marTop w:val="0"/>
      <w:marBottom w:val="0"/>
      <w:divBdr>
        <w:top w:val="none" w:sz="0" w:space="0" w:color="auto"/>
        <w:left w:val="none" w:sz="0" w:space="0" w:color="auto"/>
        <w:bottom w:val="none" w:sz="0" w:space="0" w:color="auto"/>
        <w:right w:val="none" w:sz="0" w:space="0" w:color="auto"/>
      </w:divBdr>
    </w:div>
    <w:div w:id="1103644162">
      <w:bodyDiv w:val="1"/>
      <w:marLeft w:val="0"/>
      <w:marRight w:val="0"/>
      <w:marTop w:val="0"/>
      <w:marBottom w:val="0"/>
      <w:divBdr>
        <w:top w:val="none" w:sz="0" w:space="0" w:color="auto"/>
        <w:left w:val="none" w:sz="0" w:space="0" w:color="auto"/>
        <w:bottom w:val="none" w:sz="0" w:space="0" w:color="auto"/>
        <w:right w:val="none" w:sz="0" w:space="0" w:color="auto"/>
      </w:divBdr>
    </w:div>
    <w:div w:id="1122576529">
      <w:bodyDiv w:val="1"/>
      <w:marLeft w:val="0"/>
      <w:marRight w:val="0"/>
      <w:marTop w:val="0"/>
      <w:marBottom w:val="0"/>
      <w:divBdr>
        <w:top w:val="none" w:sz="0" w:space="0" w:color="auto"/>
        <w:left w:val="none" w:sz="0" w:space="0" w:color="auto"/>
        <w:bottom w:val="none" w:sz="0" w:space="0" w:color="auto"/>
        <w:right w:val="none" w:sz="0" w:space="0" w:color="auto"/>
      </w:divBdr>
    </w:div>
    <w:div w:id="1173297143">
      <w:bodyDiv w:val="1"/>
      <w:marLeft w:val="0"/>
      <w:marRight w:val="0"/>
      <w:marTop w:val="0"/>
      <w:marBottom w:val="0"/>
      <w:divBdr>
        <w:top w:val="none" w:sz="0" w:space="0" w:color="auto"/>
        <w:left w:val="none" w:sz="0" w:space="0" w:color="auto"/>
        <w:bottom w:val="none" w:sz="0" w:space="0" w:color="auto"/>
        <w:right w:val="none" w:sz="0" w:space="0" w:color="auto"/>
      </w:divBdr>
    </w:div>
    <w:div w:id="141112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2826</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Backus, Ena</dc:creator>
  <cp:keywords/>
  <dc:description/>
  <cp:lastModifiedBy>Backus, Ena</cp:lastModifiedBy>
  <cp:revision>50</cp:revision>
  <cp:lastPrinted>2022-06-21T18:52:00Z</cp:lastPrinted>
  <dcterms:created xsi:type="dcterms:W3CDTF">2022-06-19T15:22:00Z</dcterms:created>
  <dcterms:modified xsi:type="dcterms:W3CDTF">2022-06-22T14:07:00Z</dcterms:modified>
</cp:coreProperties>
</file>